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77777777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5D6416C5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E42DF8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. </w:t>
      </w:r>
      <w:r w:rsidR="00E42DF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 2023</w:t>
      </w:r>
    </w:p>
    <w:p w14:paraId="5F52CAA1" w14:textId="77777777" w:rsidR="0077767E" w:rsidRDefault="0077767E">
      <w:pPr>
        <w:spacing w:before="360" w:after="360"/>
        <w:jc w:val="right"/>
        <w:rPr>
          <w:rFonts w:ascii="Arial" w:hAnsi="Arial" w:cs="Arial"/>
          <w:sz w:val="24"/>
        </w:rPr>
      </w:pPr>
    </w:p>
    <w:p w14:paraId="26C31AC5" w14:textId="3C164032" w:rsidR="0077767E" w:rsidRDefault="004C71AB" w:rsidP="00A57C32">
      <w:pPr>
        <w:pStyle w:val="Standard"/>
        <w:jc w:val="both"/>
        <w:rPr>
          <w:rFonts w:ascii="Georgia" w:eastAsia="Calibri" w:hAnsi="Georgia"/>
          <w:b/>
          <w:sz w:val="48"/>
          <w:szCs w:val="22"/>
        </w:rPr>
      </w:pPr>
      <w:r w:rsidRPr="004C71AB">
        <w:rPr>
          <w:rFonts w:ascii="Georgia" w:eastAsia="Calibri" w:hAnsi="Georgia"/>
          <w:b/>
          <w:sz w:val="48"/>
          <w:szCs w:val="22"/>
        </w:rPr>
        <w:t>Úvěrová asistence – efektivní ochrana pro majitele hypotéky</w:t>
      </w:r>
    </w:p>
    <w:p w14:paraId="148C2959" w14:textId="77777777" w:rsidR="00A57C32" w:rsidRPr="00AF468E" w:rsidRDefault="00A57C32" w:rsidP="00A57C32">
      <w:pPr>
        <w:pStyle w:val="Standard"/>
        <w:jc w:val="both"/>
        <w:rPr>
          <w:rFonts w:ascii="Georgia" w:eastAsia="Calibri" w:hAnsi="Georgia"/>
          <w:b/>
          <w:sz w:val="48"/>
          <w:szCs w:val="22"/>
        </w:rPr>
      </w:pPr>
    </w:p>
    <w:p w14:paraId="34292B4E" w14:textId="299F87C1" w:rsidR="004C71AB" w:rsidRPr="0072090B" w:rsidRDefault="004C71AB" w:rsidP="00590F6C">
      <w:pPr>
        <w:pStyle w:val="Standard"/>
        <w:jc w:val="both"/>
        <w:rPr>
          <w:rFonts w:ascii="Arial" w:eastAsia="Times New Roman" w:hAnsi="Arial"/>
          <w:b/>
          <w:bCs/>
          <w:shd w:val="clear" w:color="auto" w:fill="FFFFFF"/>
          <w:lang w:eastAsia="cs-CZ"/>
        </w:rPr>
      </w:pPr>
      <w:r w:rsidRPr="0072090B">
        <w:rPr>
          <w:rFonts w:ascii="Arial" w:hAnsi="Arial"/>
          <w:b/>
          <w:bCs/>
          <w:color w:val="212529"/>
        </w:rPr>
        <w:t xml:space="preserve">Podle nejnovějšího </w:t>
      </w:r>
      <w:hyperlink r:id="rId9" w:history="1">
        <w:r w:rsidRPr="0072090B">
          <w:rPr>
            <w:rStyle w:val="Hypertextovodkaz"/>
            <w:rFonts w:ascii="Arial" w:hAnsi="Arial"/>
            <w:b/>
            <w:bCs/>
          </w:rPr>
          <w:t>průzkumu České bankovní asociace a agentury Ipsos</w:t>
        </w:r>
      </w:hyperlink>
      <w:r w:rsidRPr="0072090B">
        <w:rPr>
          <w:rFonts w:ascii="Arial" w:hAnsi="Arial"/>
          <w:b/>
          <w:bCs/>
          <w:color w:val="212529"/>
        </w:rPr>
        <w:t xml:space="preserve"> v příštích několika letech plánuje sjednání hypotéky až pětina Čechů. Polovina z nich ale musela své plány kvůli vyšším životním nákladům a inflaci odložit.  Někteří z nich se totiž obávají, že nebudou schopni své závazky splácet, a častěji jim brání i strach z nemocí, úrazů a z nich plynoucí pracovní neschopnosti. Pomoci jim v tom může úvěrová asistence, kterou si mohou sjednat společně se životním pojištěním v pojišťovně </w:t>
      </w:r>
      <w:hyperlink r:id="rId10" w:history="1">
        <w:r w:rsidRPr="0072090B">
          <w:rPr>
            <w:rStyle w:val="Hypertextovodkaz"/>
            <w:rFonts w:ascii="Arial" w:hAnsi="Arial"/>
            <w:b/>
            <w:bCs/>
          </w:rPr>
          <w:t>MetLife</w:t>
        </w:r>
      </w:hyperlink>
      <w:r w:rsidRPr="0072090B">
        <w:rPr>
          <w:rFonts w:ascii="Arial" w:hAnsi="Arial"/>
          <w:b/>
          <w:bCs/>
          <w:color w:val="212529"/>
        </w:rPr>
        <w:t>.</w:t>
      </w:r>
    </w:p>
    <w:p w14:paraId="40390A45" w14:textId="77777777" w:rsidR="0077767E" w:rsidRPr="0072090B" w:rsidRDefault="0077767E" w:rsidP="00590F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7959FED0" w14:textId="58C2F669" w:rsidR="00F76801" w:rsidRDefault="004C71AB" w:rsidP="00590F6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103662744"/>
      <w:bookmarkEnd w:id="0"/>
      <w:r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„V případech</w:t>
      </w:r>
      <w:r w:rsidR="008B07F6"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neschopnosti splácet</w:t>
      </w:r>
      <w:r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je finanční pomocí tzv. úvěrová asistence, která sice zaznamenala v posledních dvou letech výrazný nárůst, ale stále je součástí pouze necelé pětiny všech smluv životního pojištění. Přitom poskytuje klientům a jejich rodinám komplexní ochranu proti rizikům, jež </w:t>
      </w:r>
      <w:r w:rsidR="00FC5EA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významně </w:t>
      </w:r>
      <w:r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ohrožují splácení hypotéky, úvěru nebo jiného finančního závazku. Navíc oproti samostatně sjednaným </w:t>
      </w:r>
      <w:r w:rsidR="00FC5EA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pojištěním</w:t>
      </w:r>
      <w:r w:rsidR="00FC5EA2"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je úvěrový balíček cenově výhodnější. Pojištěný si může zvolit jednu z 11 variant se širokými možnostmi zabezpečení. Není tedy problém, aby si finanční zajištění nastavil každý podle svých představ. Nejčastěji si klienti vybírají kombinaci rizik smrti a invalidity 2. a 3. stupně,“</w:t>
      </w:r>
      <w:r w:rsidRPr="0072090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uvádí</w:t>
      </w:r>
      <w:r w:rsidR="0072090B" w:rsidRPr="0072090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2090B">
        <w:rPr>
          <w:rFonts w:ascii="Arial" w:hAnsi="Arial" w:cs="Arial"/>
          <w:sz w:val="24"/>
          <w:szCs w:val="24"/>
          <w:shd w:val="clear" w:color="auto" w:fill="FFFFFF"/>
        </w:rPr>
        <w:t>analytička produktového oddělení</w:t>
      </w:r>
      <w:r w:rsidR="0072090B" w:rsidRPr="007209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090B">
        <w:rPr>
          <w:rFonts w:ascii="Arial" w:hAnsi="Arial" w:cs="Arial"/>
          <w:sz w:val="24"/>
          <w:szCs w:val="24"/>
          <w:shd w:val="clear" w:color="auto" w:fill="FFFFFF"/>
        </w:rPr>
        <w:t>pojišťovny MetLife Eliška Nechanická</w:t>
      </w:r>
      <w:r w:rsidR="00F76801">
        <w:rPr>
          <w:rFonts w:ascii="Arial" w:hAnsi="Arial" w:cs="Arial"/>
          <w:sz w:val="24"/>
          <w:szCs w:val="24"/>
          <w:shd w:val="clear" w:color="auto" w:fill="FFFFFF"/>
        </w:rPr>
        <w:t xml:space="preserve"> Březinová. </w:t>
      </w:r>
    </w:p>
    <w:p w14:paraId="712C21B6" w14:textId="5324FC80" w:rsidR="004C71AB" w:rsidRDefault="004C71AB" w:rsidP="00590F6C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2090B">
        <w:rPr>
          <w:rFonts w:ascii="Arial" w:hAnsi="Arial" w:cs="Arial"/>
          <w:sz w:val="24"/>
          <w:szCs w:val="24"/>
        </w:rPr>
        <w:br/>
        <w:t xml:space="preserve">Úvěrová asistence od společnosti </w:t>
      </w:r>
      <w:hyperlink r:id="rId11" w:history="1">
        <w:r w:rsidRPr="0072090B">
          <w:rPr>
            <w:rStyle w:val="Hypertextovodkaz"/>
            <w:rFonts w:ascii="Arial" w:hAnsi="Arial" w:cs="Arial"/>
            <w:sz w:val="24"/>
            <w:szCs w:val="24"/>
          </w:rPr>
          <w:t>MetLife</w:t>
        </w:r>
      </w:hyperlink>
      <w:r w:rsidRPr="0072090B">
        <w:rPr>
          <w:rFonts w:ascii="Arial" w:hAnsi="Arial" w:cs="Arial"/>
          <w:sz w:val="24"/>
          <w:szCs w:val="24"/>
        </w:rPr>
        <w:t xml:space="preserve">, která </w:t>
      </w:r>
      <w:r w:rsidRPr="0072090B">
        <w:rPr>
          <w:rFonts w:ascii="Arial" w:hAnsi="Arial" w:cs="Arial"/>
          <w:color w:val="000000"/>
          <w:sz w:val="24"/>
          <w:szCs w:val="24"/>
        </w:rPr>
        <w:t xml:space="preserve">je určena pro klienty ve věku od 15 do 70 let, </w:t>
      </w:r>
      <w:r w:rsidRPr="0072090B">
        <w:rPr>
          <w:rFonts w:ascii="Arial" w:eastAsia="Times New Roman" w:hAnsi="Arial" w:cs="Arial"/>
          <w:sz w:val="24"/>
          <w:szCs w:val="24"/>
        </w:rPr>
        <w:t xml:space="preserve">umožňuje kombinaci tří základních </w:t>
      </w:r>
      <w:r w:rsidR="00FC5EA2">
        <w:rPr>
          <w:rFonts w:ascii="Arial" w:eastAsia="Times New Roman" w:hAnsi="Arial" w:cs="Arial"/>
          <w:sz w:val="24"/>
          <w:szCs w:val="24"/>
        </w:rPr>
        <w:t>pojištění</w:t>
      </w:r>
      <w:r w:rsidRPr="0072090B">
        <w:rPr>
          <w:rFonts w:ascii="Arial" w:eastAsia="Times New Roman" w:hAnsi="Arial" w:cs="Arial"/>
          <w:sz w:val="24"/>
          <w:szCs w:val="24"/>
        </w:rPr>
        <w:t xml:space="preserve">, která nejvíce ohrožují splácení úvěru – </w:t>
      </w:r>
      <w:r w:rsidRPr="0072090B">
        <w:rPr>
          <w:rFonts w:ascii="Arial" w:eastAsia="Times New Roman" w:hAnsi="Arial" w:cs="Arial"/>
          <w:b/>
          <w:bCs/>
          <w:sz w:val="24"/>
          <w:szCs w:val="24"/>
        </w:rPr>
        <w:t>invalidity</w:t>
      </w:r>
      <w:r w:rsidRPr="0072090B">
        <w:rPr>
          <w:rStyle w:val="Silnzdraznn"/>
          <w:rFonts w:ascii="Arial" w:hAnsi="Arial" w:cs="Arial"/>
          <w:b w:val="0"/>
          <w:bCs w:val="0"/>
          <w:sz w:val="24"/>
          <w:szCs w:val="24"/>
        </w:rPr>
        <w:t>,</w:t>
      </w:r>
      <w:r w:rsidRPr="0072090B">
        <w:rPr>
          <w:rStyle w:val="Silnzdraznn"/>
          <w:rFonts w:ascii="Arial" w:hAnsi="Arial" w:cs="Arial"/>
          <w:sz w:val="24"/>
          <w:szCs w:val="24"/>
        </w:rPr>
        <w:t xml:space="preserve"> závažného onemocnění a smrti, </w:t>
      </w:r>
      <w:r w:rsidRPr="0072090B">
        <w:rPr>
          <w:rStyle w:val="Silnzdraznn"/>
          <w:rFonts w:ascii="Arial" w:hAnsi="Arial" w:cs="Arial"/>
          <w:b w:val="0"/>
          <w:bCs w:val="0"/>
          <w:sz w:val="24"/>
          <w:szCs w:val="24"/>
        </w:rPr>
        <w:t>a to buď</w:t>
      </w:r>
      <w:r w:rsidRPr="0072090B">
        <w:rPr>
          <w:rStyle w:val="Silnzdraznn"/>
          <w:rFonts w:ascii="Arial" w:hAnsi="Arial" w:cs="Arial"/>
          <w:sz w:val="24"/>
          <w:szCs w:val="24"/>
        </w:rPr>
        <w:t xml:space="preserve"> </w:t>
      </w:r>
      <w:r w:rsidRPr="0072090B">
        <w:rPr>
          <w:rFonts w:ascii="Arial" w:eastAsia="Times New Roman" w:hAnsi="Arial" w:cs="Arial"/>
          <w:sz w:val="24"/>
          <w:szCs w:val="24"/>
        </w:rPr>
        <w:t>s lineárně klesající pojistnou částkou nebo s anuitním klesáním, které kopíruje výši úvěru.</w:t>
      </w:r>
      <w:r w:rsidRPr="0072090B">
        <w:rPr>
          <w:rFonts w:ascii="Arial" w:hAnsi="Arial" w:cs="Arial"/>
          <w:sz w:val="24"/>
          <w:szCs w:val="24"/>
        </w:rPr>
        <w:t xml:space="preserve"> </w:t>
      </w:r>
      <w:r w:rsidRPr="0072090B">
        <w:rPr>
          <w:rFonts w:ascii="Arial" w:eastAsia="Times New Roman" w:hAnsi="Arial" w:cs="Arial"/>
          <w:bCs/>
          <w:sz w:val="24"/>
          <w:szCs w:val="24"/>
          <w:lang w:eastAsia="cs-CZ"/>
        </w:rPr>
        <w:t>Balíček lze sjednat pro jednoho nebo dva dospělé, tedy manžele či partnery, kteří splácejí hypotéku společně. Výhodou sjednání úvěrové asistence pro oba pojištěné je</w:t>
      </w:r>
      <w:r w:rsidR="00A0026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sleva až</w:t>
      </w:r>
      <w:r w:rsidRPr="0072090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30</w:t>
      </w:r>
      <w:r w:rsidR="00E1657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2090B">
        <w:rPr>
          <w:rFonts w:ascii="Arial" w:eastAsia="Times New Roman" w:hAnsi="Arial" w:cs="Arial"/>
          <w:bCs/>
          <w:sz w:val="24"/>
          <w:szCs w:val="24"/>
          <w:lang w:eastAsia="cs-CZ"/>
        </w:rPr>
        <w:t>% pro druhého pojištěného.</w:t>
      </w:r>
    </w:p>
    <w:p w14:paraId="72C3B5B6" w14:textId="77777777" w:rsidR="00590F6C" w:rsidRPr="0072090B" w:rsidRDefault="00590F6C" w:rsidP="00590F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16475E" w14:textId="08FDE1BE" w:rsidR="004C71AB" w:rsidRDefault="004C71AB" w:rsidP="00590F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209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„Podle průzkumu </w:t>
      </w:r>
      <w:r w:rsidRPr="0072090B">
        <w:rPr>
          <w:rFonts w:ascii="Arial" w:eastAsia="Times New Roman" w:hAnsi="Arial" w:cs="Arial"/>
          <w:i/>
          <w:iCs/>
          <w:color w:val="000000"/>
          <w:sz w:val="24"/>
          <w:szCs w:val="24"/>
        </w:rPr>
        <w:t>Češi plánují čerpat hypotéku nejčastěji do částky 3 milion</w:t>
      </w:r>
      <w:r w:rsidR="008C15F4">
        <w:rPr>
          <w:rFonts w:ascii="Arial" w:eastAsia="Times New Roman" w:hAnsi="Arial" w:cs="Arial"/>
          <w:i/>
          <w:iCs/>
          <w:color w:val="000000"/>
          <w:sz w:val="24"/>
          <w:szCs w:val="24"/>
        </w:rPr>
        <w:t>ů</w:t>
      </w:r>
      <w:r w:rsidRPr="0072090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korun, ale zájemci o úvěrovou asistenci u nás nemusejí dokládat příjmy až do limitu dvojnásobného, tedy 6 milionů Kč. A maximální pojistné částky uspokojí i </w:t>
      </w:r>
      <w:r w:rsidR="00442076">
        <w:rPr>
          <w:rFonts w:ascii="Arial" w:eastAsia="Times New Roman" w:hAnsi="Arial" w:cs="Arial"/>
          <w:i/>
          <w:iCs/>
          <w:color w:val="000000"/>
          <w:sz w:val="24"/>
          <w:szCs w:val="24"/>
        </w:rPr>
        <w:t>náročnější</w:t>
      </w:r>
      <w:r w:rsidR="00442076" w:rsidRPr="0072090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72090B">
        <w:rPr>
          <w:rFonts w:ascii="Arial" w:eastAsia="Times New Roman" w:hAnsi="Arial" w:cs="Arial"/>
          <w:i/>
          <w:iCs/>
          <w:color w:val="000000"/>
          <w:sz w:val="24"/>
          <w:szCs w:val="24"/>
        </w:rPr>
        <w:t>žadatele. Pro klienty jsou příznivé i podmínky zkoumání zdravotního stavu –</w:t>
      </w:r>
      <w:r w:rsidR="008B07F6" w:rsidRPr="0072090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72090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klient do 45 let, tedy ve věku nejběžnějšího žadatele o hypotéku, vyplní do limitu 10 milionů korun pouze zdravotní dotazník,“ </w:t>
      </w:r>
      <w:r w:rsidRPr="0072090B">
        <w:rPr>
          <w:rFonts w:ascii="Arial" w:eastAsia="Times New Roman" w:hAnsi="Arial" w:cs="Arial"/>
          <w:sz w:val="24"/>
          <w:szCs w:val="24"/>
        </w:rPr>
        <w:t>dodává Eliška Nechanická</w:t>
      </w:r>
      <w:r w:rsidR="00F76801">
        <w:rPr>
          <w:rFonts w:ascii="Arial" w:eastAsia="Times New Roman" w:hAnsi="Arial" w:cs="Arial"/>
          <w:sz w:val="24"/>
          <w:szCs w:val="24"/>
        </w:rPr>
        <w:t xml:space="preserve"> Březinová</w:t>
      </w:r>
      <w:r w:rsidRPr="0072090B">
        <w:rPr>
          <w:rFonts w:ascii="Arial" w:eastAsia="Times New Roman" w:hAnsi="Arial" w:cs="Arial"/>
          <w:sz w:val="24"/>
          <w:szCs w:val="24"/>
        </w:rPr>
        <w:t>.</w:t>
      </w:r>
    </w:p>
    <w:p w14:paraId="3341278B" w14:textId="77777777" w:rsidR="00590F6C" w:rsidRPr="0072090B" w:rsidRDefault="00590F6C" w:rsidP="00590F6C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02BCAB8E" w14:textId="7BD8A2B8" w:rsidR="004C71AB" w:rsidRDefault="004C71AB" w:rsidP="00590F6C">
      <w:pPr>
        <w:spacing w:after="0"/>
        <w:jc w:val="both"/>
        <w:rPr>
          <w:rFonts w:ascii="Arial" w:hAnsi="Arial" w:cs="Arial"/>
          <w:color w:val="212529"/>
          <w:sz w:val="24"/>
          <w:szCs w:val="24"/>
        </w:rPr>
      </w:pPr>
      <w:r w:rsidRPr="0072090B">
        <w:rPr>
          <w:rFonts w:ascii="Arial" w:hAnsi="Arial" w:cs="Arial"/>
          <w:color w:val="212529"/>
          <w:sz w:val="24"/>
          <w:szCs w:val="24"/>
        </w:rPr>
        <w:lastRenderedPageBreak/>
        <w:t xml:space="preserve">Je neoddiskutovatelné, že hypotéka představuje značnou zátěž rodinného rozpočtu. Ti, kteří hypotéku již splácejí, na ni odvádějí nejčastěji mezi 20–24 % z čistého měsíčního příjmu domácnosti. Pro každou třetí domácnost pak splátka představuje dokonce více než 30 % příjmu. </w:t>
      </w:r>
    </w:p>
    <w:p w14:paraId="24C41356" w14:textId="2B9F8479" w:rsidR="00E379A6" w:rsidRDefault="00E379A6" w:rsidP="00590F6C">
      <w:pPr>
        <w:spacing w:after="0"/>
        <w:jc w:val="both"/>
        <w:rPr>
          <w:rFonts w:ascii="Arial" w:hAnsi="Arial" w:cs="Arial"/>
          <w:color w:val="212529"/>
          <w:sz w:val="24"/>
          <w:szCs w:val="24"/>
        </w:rPr>
      </w:pPr>
      <w:r w:rsidRPr="001B60C2">
        <w:rPr>
          <w:rFonts w:ascii="Arial" w:hAnsi="Arial" w:cs="Arial"/>
          <w:color w:val="212529"/>
          <w:sz w:val="24"/>
          <w:szCs w:val="24"/>
        </w:rPr>
        <w:t>A pokud místo pravidelné výplaty najednou pobírá majitel hypotéky pouze dávky pracovní neschopnosti</w:t>
      </w:r>
      <w:r w:rsidR="00907D1B" w:rsidRPr="001B60C2">
        <w:rPr>
          <w:rFonts w:ascii="Arial" w:hAnsi="Arial" w:cs="Arial"/>
          <w:color w:val="212529"/>
          <w:sz w:val="24"/>
          <w:szCs w:val="24"/>
        </w:rPr>
        <w:t xml:space="preserve"> nebo invalidní důchod</w:t>
      </w:r>
      <w:r w:rsidRPr="001B60C2">
        <w:rPr>
          <w:rFonts w:ascii="Arial" w:hAnsi="Arial" w:cs="Arial"/>
          <w:color w:val="212529"/>
          <w:sz w:val="24"/>
          <w:szCs w:val="24"/>
        </w:rPr>
        <w:t>, dříve či později se může dostat do platební neschopnosti. Pojištění pracovní neschopnosti sice není součástí úvěrové asistence, ale pokud klient potřebuje maximální ochranu, je možné ji dopojistit.</w:t>
      </w:r>
    </w:p>
    <w:p w14:paraId="122CF75F" w14:textId="77777777" w:rsidR="00590F6C" w:rsidRPr="001B60C2" w:rsidRDefault="00590F6C" w:rsidP="00590F6C">
      <w:pPr>
        <w:spacing w:after="0"/>
        <w:jc w:val="both"/>
        <w:rPr>
          <w:rFonts w:ascii="Arial" w:hAnsi="Arial" w:cs="Arial"/>
          <w:color w:val="212529"/>
          <w:sz w:val="24"/>
          <w:szCs w:val="24"/>
        </w:rPr>
      </w:pPr>
    </w:p>
    <w:p w14:paraId="1B0E283A" w14:textId="3D977788" w:rsidR="004C71AB" w:rsidRDefault="004C71AB" w:rsidP="00590F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60C2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„Podobnou situaci jsme zaznamenali u jedné z našich klientek, které jsme vyplatili zatím </w:t>
      </w:r>
      <w:r w:rsidRPr="001B60C2">
        <w:rPr>
          <w:rFonts w:ascii="Arial" w:eastAsia="Times New Roman" w:hAnsi="Arial" w:cs="Arial"/>
          <w:i/>
          <w:iCs/>
          <w:color w:val="000000"/>
          <w:sz w:val="24"/>
          <w:szCs w:val="24"/>
        </w:rPr>
        <w:t>nejvyšší pojistné plnění</w:t>
      </w:r>
      <w:r w:rsidR="0072090B" w:rsidRPr="001B60C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1B60C2">
        <w:rPr>
          <w:rFonts w:ascii="Arial" w:eastAsia="Times New Roman" w:hAnsi="Arial" w:cs="Arial"/>
          <w:i/>
          <w:iCs/>
          <w:sz w:val="24"/>
          <w:szCs w:val="24"/>
        </w:rPr>
        <w:t>4 800 000 Kč</w:t>
      </w:r>
      <w:r w:rsidRPr="001B60C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Po </w:t>
      </w:r>
      <w:r w:rsidRPr="001B60C2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těžkém úrazu při autonehodě se stala plně invalidní. </w:t>
      </w:r>
      <w:r w:rsidR="00E379A6" w:rsidRPr="001B60C2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D</w:t>
      </w:r>
      <w:r w:rsidR="00E379A6" w:rsidRPr="001B60C2">
        <w:rPr>
          <w:rFonts w:ascii="Arial" w:eastAsia="Times New Roman" w:hAnsi="Arial" w:cs="Arial"/>
          <w:i/>
          <w:iCs/>
          <w:sz w:val="24"/>
          <w:szCs w:val="24"/>
        </w:rPr>
        <w:t>íky úvěrové asistenci, kterou si ke svému životnímu pojištění sjednala před čtyřmi lety, se rychle</w:t>
      </w:r>
      <w:r w:rsidRPr="001B60C2">
        <w:rPr>
          <w:rFonts w:ascii="Arial" w:eastAsia="Times New Roman" w:hAnsi="Arial" w:cs="Arial"/>
          <w:i/>
          <w:iCs/>
          <w:sz w:val="24"/>
          <w:szCs w:val="24"/>
        </w:rPr>
        <w:t xml:space="preserve"> oddlužila a místo splácení hypotéky může využít peníze na výpomoc v domácnosti a další služby nehrazené ze zdravotního pojištění, na které by jí jinak už nezbylo,“</w:t>
      </w:r>
      <w:r w:rsidRPr="001B60C2">
        <w:rPr>
          <w:rFonts w:ascii="Arial" w:eastAsia="Times New Roman" w:hAnsi="Arial" w:cs="Arial"/>
          <w:sz w:val="24"/>
          <w:szCs w:val="24"/>
        </w:rPr>
        <w:t xml:space="preserve"> uzavírá analytička Eliška Nechanická</w:t>
      </w:r>
      <w:r w:rsidR="005328D4" w:rsidRPr="001B60C2">
        <w:rPr>
          <w:rFonts w:ascii="Arial" w:eastAsia="Times New Roman" w:hAnsi="Arial" w:cs="Arial"/>
          <w:sz w:val="24"/>
          <w:szCs w:val="24"/>
        </w:rPr>
        <w:t xml:space="preserve"> </w:t>
      </w:r>
      <w:r w:rsidR="00F76801" w:rsidRPr="001B60C2">
        <w:rPr>
          <w:rFonts w:ascii="Arial" w:eastAsia="Times New Roman" w:hAnsi="Arial" w:cs="Arial"/>
          <w:sz w:val="24"/>
          <w:szCs w:val="24"/>
        </w:rPr>
        <w:t>Březinová</w:t>
      </w:r>
      <w:r w:rsidRPr="001B60C2">
        <w:rPr>
          <w:rFonts w:ascii="Arial" w:eastAsia="Times New Roman" w:hAnsi="Arial" w:cs="Arial"/>
          <w:sz w:val="24"/>
          <w:szCs w:val="24"/>
        </w:rPr>
        <w:t>.</w:t>
      </w:r>
    </w:p>
    <w:p w14:paraId="62DB1AED" w14:textId="77777777" w:rsidR="00590F6C" w:rsidRPr="001B60C2" w:rsidRDefault="00590F6C" w:rsidP="00590F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929F10C" w14:textId="7EE4B09A" w:rsidR="004C71AB" w:rsidRDefault="004C71AB" w:rsidP="00590F6C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1B60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Úvěrová asistence dokáže efektivně pomoci těm, kteří chtějí ochránit své investice a udržet si finanční stabilitu i při neočekávaných událostech a náhlé ztrátě příjmu. </w:t>
      </w:r>
      <w:r w:rsidR="00E379A6" w:rsidRPr="001B60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Případů, kdy úvěrová asistence MetLife zachraňuje</w:t>
      </w:r>
      <w:r w:rsidR="008C15F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  <w:r w:rsidR="00907D1B" w:rsidRPr="001B60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není málo a</w:t>
      </w:r>
      <w:r w:rsidR="00E379A6" w:rsidRPr="001B60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téměř vždy jde o milionové částky.</w:t>
      </w:r>
    </w:p>
    <w:p w14:paraId="102319EF" w14:textId="77777777" w:rsidR="005151FC" w:rsidRPr="005151FC" w:rsidRDefault="005151FC" w:rsidP="00590F6C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787B2F78" w14:textId="4BAE4B6B" w:rsidR="0077767E" w:rsidRPr="0072090B" w:rsidRDefault="000A071C" w:rsidP="00590F6C">
      <w:pPr>
        <w:pStyle w:val="Textkomente"/>
        <w:spacing w:after="0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72090B">
        <w:rPr>
          <w:rFonts w:ascii="Arial" w:hAnsi="Arial" w:cs="Arial"/>
          <w:bCs/>
          <w:color w:val="000000" w:themeColor="text1"/>
          <w:sz w:val="24"/>
          <w:szCs w:val="24"/>
        </w:rPr>
        <w:t xml:space="preserve">Více informací o </w:t>
      </w:r>
      <w:r w:rsidR="00A143F8" w:rsidRPr="0072090B">
        <w:rPr>
          <w:rFonts w:ascii="Arial" w:hAnsi="Arial" w:cs="Arial"/>
          <w:bCs/>
          <w:color w:val="000000" w:themeColor="text1"/>
          <w:sz w:val="24"/>
          <w:szCs w:val="24"/>
        </w:rPr>
        <w:t>úvěrové asistenci</w:t>
      </w:r>
      <w:r w:rsidRPr="0072090B">
        <w:rPr>
          <w:rFonts w:ascii="Arial" w:hAnsi="Arial" w:cs="Arial"/>
          <w:bCs/>
          <w:color w:val="000000" w:themeColor="text1"/>
          <w:sz w:val="24"/>
          <w:szCs w:val="24"/>
        </w:rPr>
        <w:t xml:space="preserve"> naleznete na webu </w:t>
      </w:r>
      <w:hyperlink r:id="rId12">
        <w:r w:rsidRPr="0072090B">
          <w:rPr>
            <w:rStyle w:val="Internetovodkaz"/>
            <w:rFonts w:ascii="Arial" w:hAnsi="Arial" w:cs="Arial"/>
            <w:bCs/>
            <w:i/>
            <w:iCs/>
            <w:color w:val="0070C0"/>
            <w:sz w:val="24"/>
            <w:szCs w:val="24"/>
          </w:rPr>
          <w:t>MetLife</w:t>
        </w:r>
      </w:hyperlink>
      <w:r w:rsidR="0072090B" w:rsidRPr="0072090B">
        <w:rPr>
          <w:rStyle w:val="Internetovodkaz"/>
          <w:rFonts w:ascii="Arial" w:hAnsi="Arial" w:cs="Arial"/>
          <w:bCs/>
          <w:i/>
          <w:iCs/>
          <w:color w:val="000000" w:themeColor="text1"/>
          <w:sz w:val="24"/>
          <w:szCs w:val="24"/>
          <w:u w:val="none"/>
        </w:rPr>
        <w:t xml:space="preserve"> a</w:t>
      </w:r>
      <w:r w:rsidRPr="0072090B">
        <w:rPr>
          <w:rStyle w:val="Internetovodkaz"/>
          <w:rFonts w:ascii="Arial" w:hAnsi="Arial" w:cs="Arial"/>
          <w:bCs/>
          <w:i/>
          <w:iCs/>
          <w:color w:val="000000" w:themeColor="text1"/>
          <w:sz w:val="24"/>
          <w:szCs w:val="24"/>
          <w:u w:val="none"/>
        </w:rPr>
        <w:t xml:space="preserve"> </w:t>
      </w:r>
      <w:r w:rsidRPr="0072090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u </w:t>
      </w:r>
      <w:hyperlink r:id="rId13">
        <w:r w:rsidRPr="0072090B">
          <w:rPr>
            <w:rStyle w:val="Internetovodkaz"/>
            <w:rFonts w:ascii="Arial" w:hAnsi="Arial" w:cs="Arial"/>
            <w:bCs/>
            <w:i/>
            <w:iCs/>
            <w:color w:val="0070C0"/>
            <w:sz w:val="24"/>
            <w:szCs w:val="24"/>
          </w:rPr>
          <w:t>pojišťovacích zprostředkovatelů</w:t>
        </w:r>
      </w:hyperlink>
      <w:r w:rsidRPr="0072090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.</w:t>
      </w:r>
    </w:p>
    <w:p w14:paraId="2B6CAA99" w14:textId="3EB64B32" w:rsidR="0077767E" w:rsidRDefault="0077767E" w:rsidP="00590F6C">
      <w:pPr>
        <w:spacing w:after="0"/>
        <w:rPr>
          <w:rFonts w:ascii="Arial" w:hAnsi="Arial" w:cs="Arial"/>
          <w:bCs/>
          <w:sz w:val="24"/>
        </w:rPr>
      </w:pPr>
      <w:bookmarkStart w:id="1" w:name="_Hlk1036627441"/>
      <w:bookmarkEnd w:id="1"/>
    </w:p>
    <w:p w14:paraId="20C82AA9" w14:textId="77777777" w:rsidR="005328D4" w:rsidRDefault="005328D4" w:rsidP="00590F6C">
      <w:pPr>
        <w:spacing w:after="0"/>
        <w:rPr>
          <w:rFonts w:ascii="Arial" w:hAnsi="Arial" w:cs="Arial"/>
          <w:bCs/>
          <w:sz w:val="24"/>
        </w:rPr>
      </w:pPr>
    </w:p>
    <w:p w14:paraId="73D1ED6E" w14:textId="77777777" w:rsidR="00590F6C" w:rsidRDefault="00590F6C" w:rsidP="00590F6C">
      <w:pPr>
        <w:spacing w:after="0"/>
        <w:rPr>
          <w:rFonts w:ascii="Arial" w:hAnsi="Arial" w:cs="Arial"/>
          <w:bCs/>
          <w:sz w:val="24"/>
        </w:rPr>
      </w:pPr>
    </w:p>
    <w:p w14:paraId="10AD4416" w14:textId="77777777" w:rsidR="00590F6C" w:rsidRDefault="00590F6C" w:rsidP="00590F6C">
      <w:pPr>
        <w:spacing w:after="0"/>
        <w:rPr>
          <w:rFonts w:ascii="Arial" w:hAnsi="Arial" w:cs="Arial"/>
          <w:bCs/>
          <w:sz w:val="24"/>
        </w:rPr>
      </w:pPr>
    </w:p>
    <w:p w14:paraId="02D97605" w14:textId="77777777" w:rsidR="0077767E" w:rsidRDefault="000A071C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4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5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6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7777777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A071C"/>
    <w:rsid w:val="00111C80"/>
    <w:rsid w:val="00112CA9"/>
    <w:rsid w:val="00176919"/>
    <w:rsid w:val="00194F92"/>
    <w:rsid w:val="001B60C2"/>
    <w:rsid w:val="001D6564"/>
    <w:rsid w:val="00224E0F"/>
    <w:rsid w:val="00250ED0"/>
    <w:rsid w:val="002B50EF"/>
    <w:rsid w:val="002C4B96"/>
    <w:rsid w:val="002D00F5"/>
    <w:rsid w:val="002D6565"/>
    <w:rsid w:val="003711D6"/>
    <w:rsid w:val="003A659A"/>
    <w:rsid w:val="00442076"/>
    <w:rsid w:val="004B60D8"/>
    <w:rsid w:val="004C71AB"/>
    <w:rsid w:val="004E00CD"/>
    <w:rsid w:val="004F1AE7"/>
    <w:rsid w:val="0051150E"/>
    <w:rsid w:val="005151FC"/>
    <w:rsid w:val="005328D4"/>
    <w:rsid w:val="005814BC"/>
    <w:rsid w:val="00590F6C"/>
    <w:rsid w:val="006310F9"/>
    <w:rsid w:val="00673A92"/>
    <w:rsid w:val="00692AC2"/>
    <w:rsid w:val="00701886"/>
    <w:rsid w:val="0072090B"/>
    <w:rsid w:val="0077767E"/>
    <w:rsid w:val="008B07F6"/>
    <w:rsid w:val="008C15F4"/>
    <w:rsid w:val="008D06F6"/>
    <w:rsid w:val="00907D1B"/>
    <w:rsid w:val="009967DE"/>
    <w:rsid w:val="00A00265"/>
    <w:rsid w:val="00A143F8"/>
    <w:rsid w:val="00A57C32"/>
    <w:rsid w:val="00AA5ABC"/>
    <w:rsid w:val="00AD613E"/>
    <w:rsid w:val="00AE45F6"/>
    <w:rsid w:val="00AF468E"/>
    <w:rsid w:val="00C238BB"/>
    <w:rsid w:val="00C44D6A"/>
    <w:rsid w:val="00C653F8"/>
    <w:rsid w:val="00C70297"/>
    <w:rsid w:val="00CD7AEE"/>
    <w:rsid w:val="00D863C9"/>
    <w:rsid w:val="00E16570"/>
    <w:rsid w:val="00E379A6"/>
    <w:rsid w:val="00E42DF8"/>
    <w:rsid w:val="00E56C16"/>
    <w:rsid w:val="00E913FB"/>
    <w:rsid w:val="00F12AD7"/>
    <w:rsid w:val="00F20F4A"/>
    <w:rsid w:val="00F76441"/>
    <w:rsid w:val="00F76801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pro-klienty/kontakt/kontaktni-mist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z/zivotni-pojisteni/garde-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tlife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life.c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etlife.com/" TargetMode="External"/><Relationship Id="rId10" Type="http://schemas.openxmlformats.org/officeDocument/2006/relationships/hyperlink" Target="https://www.metlife.c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bamonitor.cz/aktuality/cesi-a-hypoteky-2023" TargetMode="External"/><Relationship Id="rId14" Type="http://schemas.openxmlformats.org/officeDocument/2006/relationships/hyperlink" Target="mailto:veronika.has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2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AF2DE-1AA2-41D4-92E7-E68F53CE2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4</cp:revision>
  <dcterms:created xsi:type="dcterms:W3CDTF">2023-05-10T13:49:00Z</dcterms:created>
  <dcterms:modified xsi:type="dcterms:W3CDTF">2023-05-29T07:54:00Z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